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80998" w14:textId="4FCCD0D2" w:rsidR="00094D81" w:rsidRDefault="000251B8" w:rsidP="00094D81">
      <w:pPr>
        <w:pStyle w:val="Title"/>
        <w:jc w:val="center"/>
        <w:rPr>
          <w:b/>
          <w:bCs/>
          <w:color w:val="000000" w:themeColor="text1"/>
        </w:rPr>
      </w:pPr>
      <w:r w:rsidRPr="00DF21B6">
        <w:rPr>
          <w:rFonts w:ascii="Verdana" w:hAnsi="Verdana" w:cstheme="minorHAnsi"/>
          <w:noProof/>
          <w:color w:val="FF0000"/>
          <w:sz w:val="20"/>
          <w:szCs w:val="20"/>
        </w:rPr>
        <w:drawing>
          <wp:anchor distT="0" distB="0" distL="114300" distR="114300" simplePos="0" relativeHeight="251661312" behindDoc="0" locked="0" layoutInCell="1" allowOverlap="1" wp14:anchorId="2F0B350C" wp14:editId="6714E7DC">
            <wp:simplePos x="0" y="0"/>
            <wp:positionH relativeFrom="column">
              <wp:posOffset>4000500</wp:posOffset>
            </wp:positionH>
            <wp:positionV relativeFrom="paragraph">
              <wp:posOffset>4763</wp:posOffset>
            </wp:positionV>
            <wp:extent cx="3077845" cy="443865"/>
            <wp:effectExtent l="0" t="0" r="8255" b="0"/>
            <wp:wrapNone/>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20-06-11 at 1.51.24 P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77845" cy="443865"/>
                    </a:xfrm>
                    <a:prstGeom prst="rect">
                      <a:avLst/>
                    </a:prstGeom>
                  </pic:spPr>
                </pic:pic>
              </a:graphicData>
            </a:graphic>
          </wp:anchor>
        </w:drawing>
      </w:r>
      <w:r w:rsidRPr="00DF21B6">
        <w:rPr>
          <w:rFonts w:ascii="Verdana" w:hAnsi="Verdana" w:cstheme="minorHAnsi"/>
          <w:noProof/>
          <w:color w:val="FF0000"/>
          <w:sz w:val="20"/>
          <w:szCs w:val="20"/>
        </w:rPr>
        <w:drawing>
          <wp:anchor distT="0" distB="0" distL="114300" distR="114300" simplePos="0" relativeHeight="251659264" behindDoc="0" locked="0" layoutInCell="1" allowOverlap="1" wp14:anchorId="3C53C9A6" wp14:editId="7A592950">
            <wp:simplePos x="0" y="0"/>
            <wp:positionH relativeFrom="column">
              <wp:posOffset>-518795</wp:posOffset>
            </wp:positionH>
            <wp:positionV relativeFrom="page">
              <wp:posOffset>-52388</wp:posOffset>
            </wp:positionV>
            <wp:extent cx="2543175" cy="1611630"/>
            <wp:effectExtent l="0" t="0" r="0" b="0"/>
            <wp:wrapNone/>
            <wp:docPr id="4" name="Picture 4" descr="A pink and orange rectang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nk and orange rectangles with white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543175" cy="1611630"/>
                    </a:xfrm>
                    <a:prstGeom prst="rect">
                      <a:avLst/>
                    </a:prstGeom>
                    <a:noFill/>
                  </pic:spPr>
                </pic:pic>
              </a:graphicData>
            </a:graphic>
            <wp14:sizeRelH relativeFrom="page">
              <wp14:pctWidth>0</wp14:pctWidth>
            </wp14:sizeRelH>
            <wp14:sizeRelV relativeFrom="page">
              <wp14:pctHeight>0</wp14:pctHeight>
            </wp14:sizeRelV>
          </wp:anchor>
        </w:drawing>
      </w:r>
    </w:p>
    <w:p w14:paraId="783C5D1E" w14:textId="63FEDA42" w:rsidR="002049F3" w:rsidRPr="00094D81" w:rsidRDefault="00B8239E" w:rsidP="00094D81">
      <w:pPr>
        <w:pStyle w:val="Title"/>
        <w:jc w:val="center"/>
        <w:rPr>
          <w:b/>
          <w:bCs/>
          <w:color w:val="000000" w:themeColor="text1"/>
        </w:rPr>
      </w:pPr>
      <w:r w:rsidRPr="00094D81">
        <w:rPr>
          <w:b/>
          <w:bCs/>
          <w:color w:val="000000" w:themeColor="text1"/>
        </w:rPr>
        <w:br/>
      </w:r>
      <w:r w:rsidR="0055424F" w:rsidRPr="00094D81">
        <w:rPr>
          <w:b/>
          <w:bCs/>
          <w:color w:val="000000" w:themeColor="text1"/>
          <w:sz w:val="40"/>
          <w:szCs w:val="40"/>
        </w:rPr>
        <w:t>The Role of the CBSS Sector in Addressing Older Women’s Economic Prosperity and Security.</w:t>
      </w:r>
    </w:p>
    <w:p w14:paraId="3ECD44E1" w14:textId="77777777" w:rsidR="002049F3" w:rsidRPr="00004415" w:rsidRDefault="00B8239E" w:rsidP="00CF09F1">
      <w:pPr>
        <w:pStyle w:val="Heading1"/>
      </w:pPr>
      <w:r w:rsidRPr="00004415">
        <w:t>Why This Matters</w:t>
      </w:r>
    </w:p>
    <w:p w14:paraId="1CC2652D" w14:textId="77777777" w:rsidR="00CF09F1" w:rsidRDefault="00B8239E" w:rsidP="00A3430F">
      <w:pPr>
        <w:rPr>
          <w:sz w:val="22"/>
          <w:szCs w:val="24"/>
        </w:rPr>
      </w:pPr>
      <w:r w:rsidRPr="00004415">
        <w:rPr>
          <w:sz w:val="22"/>
          <w:szCs w:val="24"/>
        </w:rPr>
        <w:t xml:space="preserve">• </w:t>
      </w:r>
      <w:r w:rsidR="00A3430F" w:rsidRPr="00A3430F">
        <w:rPr>
          <w:sz w:val="22"/>
          <w:szCs w:val="24"/>
        </w:rPr>
        <w:t>Growing aging population in Canada:</w:t>
      </w:r>
      <w:r w:rsidR="00A3430F">
        <w:rPr>
          <w:sz w:val="22"/>
          <w:szCs w:val="24"/>
        </w:rPr>
        <w:t xml:space="preserve"> </w:t>
      </w:r>
    </w:p>
    <w:p w14:paraId="1F0DA608" w14:textId="77777777" w:rsidR="00CF09F1" w:rsidRDefault="00A3430F" w:rsidP="00A3430F">
      <w:pPr>
        <w:pStyle w:val="ListParagraph"/>
        <w:numPr>
          <w:ilvl w:val="0"/>
          <w:numId w:val="11"/>
        </w:numPr>
        <w:rPr>
          <w:sz w:val="22"/>
          <w:szCs w:val="24"/>
        </w:rPr>
      </w:pPr>
      <w:r w:rsidRPr="00CF09F1">
        <w:rPr>
          <w:sz w:val="22"/>
          <w:szCs w:val="24"/>
        </w:rPr>
        <w:t>As of July 2025 there are approx. 8.1 million Canadians aged 65+ (12.3 million, 55+), and approx. 4.5 million women in Canada aged 65+/(9.37 million 55+)</w:t>
      </w:r>
    </w:p>
    <w:p w14:paraId="5A3CD971" w14:textId="77777777" w:rsidR="00CF09F1" w:rsidRDefault="00A3430F" w:rsidP="00094D81">
      <w:pPr>
        <w:pStyle w:val="ListParagraph"/>
        <w:numPr>
          <w:ilvl w:val="0"/>
          <w:numId w:val="11"/>
        </w:numPr>
        <w:rPr>
          <w:sz w:val="22"/>
          <w:szCs w:val="24"/>
        </w:rPr>
      </w:pPr>
      <w:r w:rsidRPr="00CF09F1">
        <w:rPr>
          <w:sz w:val="22"/>
          <w:szCs w:val="24"/>
        </w:rPr>
        <w:t>By 2050 25% of the population will be 65+.</w:t>
      </w:r>
    </w:p>
    <w:p w14:paraId="7904298E" w14:textId="756FB9EE" w:rsidR="00D97D81" w:rsidRPr="00CF09F1" w:rsidRDefault="00D97D81" w:rsidP="00094D81">
      <w:pPr>
        <w:pStyle w:val="ListParagraph"/>
        <w:numPr>
          <w:ilvl w:val="0"/>
          <w:numId w:val="11"/>
        </w:numPr>
        <w:rPr>
          <w:sz w:val="22"/>
          <w:szCs w:val="24"/>
        </w:rPr>
      </w:pPr>
      <w:r w:rsidRPr="00CF09F1">
        <w:rPr>
          <w:sz w:val="22"/>
          <w:szCs w:val="24"/>
        </w:rPr>
        <w:t xml:space="preserve">Women aged </w:t>
      </w:r>
      <w:r w:rsidR="00A3430F" w:rsidRPr="00CF09F1">
        <w:rPr>
          <w:sz w:val="22"/>
          <w:szCs w:val="24"/>
        </w:rPr>
        <w:t>55+</w:t>
      </w:r>
      <w:r w:rsidRPr="00CF09F1">
        <w:rPr>
          <w:sz w:val="22"/>
          <w:szCs w:val="24"/>
        </w:rPr>
        <w:t xml:space="preserve"> years represent more than 51.5% of the population of that age group. </w:t>
      </w:r>
    </w:p>
    <w:p w14:paraId="7ACF91FC" w14:textId="77777777" w:rsidR="002049F3" w:rsidRPr="00004415" w:rsidRDefault="00B8239E" w:rsidP="00094D81">
      <w:pPr>
        <w:rPr>
          <w:sz w:val="22"/>
          <w:szCs w:val="24"/>
        </w:rPr>
      </w:pPr>
      <w:r w:rsidRPr="00004415">
        <w:rPr>
          <w:sz w:val="22"/>
          <w:szCs w:val="24"/>
        </w:rPr>
        <w:t>• Older women face greater economic insecurity due to lifelong inequities, chronic illness, caregiving roles, widowhood, and social isolation.</w:t>
      </w:r>
    </w:p>
    <w:p w14:paraId="08207B65" w14:textId="71409E8C" w:rsidR="002049F3" w:rsidRPr="00004415" w:rsidRDefault="00B8239E" w:rsidP="00094D81">
      <w:pPr>
        <w:rPr>
          <w:sz w:val="22"/>
          <w:szCs w:val="24"/>
        </w:rPr>
      </w:pPr>
      <w:r w:rsidRPr="00004415">
        <w:rPr>
          <w:sz w:val="22"/>
          <w:szCs w:val="24"/>
        </w:rPr>
        <w:t xml:space="preserve">• </w:t>
      </w:r>
      <w:r w:rsidR="0055424F" w:rsidRPr="00004415">
        <w:rPr>
          <w:sz w:val="22"/>
          <w:szCs w:val="24"/>
        </w:rPr>
        <w:t xml:space="preserve">Almost </w:t>
      </w:r>
      <w:r w:rsidRPr="00004415">
        <w:rPr>
          <w:sz w:val="22"/>
          <w:szCs w:val="24"/>
        </w:rPr>
        <w:t>90% of Community-Based Seniors’ Services (CBSS) users are older women</w:t>
      </w:r>
      <w:r w:rsidR="0055424F" w:rsidRPr="00004415">
        <w:rPr>
          <w:sz w:val="22"/>
          <w:szCs w:val="24"/>
        </w:rPr>
        <w:t>, an</w:t>
      </w:r>
      <w:r w:rsidRPr="00004415">
        <w:rPr>
          <w:sz w:val="22"/>
          <w:szCs w:val="24"/>
        </w:rPr>
        <w:t>d</w:t>
      </w:r>
      <w:r w:rsidR="0055424F" w:rsidRPr="00004415">
        <w:rPr>
          <w:sz w:val="22"/>
          <w:szCs w:val="24"/>
        </w:rPr>
        <w:t xml:space="preserve"> 33%-50% of</w:t>
      </w:r>
      <w:r w:rsidRPr="00004415">
        <w:rPr>
          <w:sz w:val="22"/>
          <w:szCs w:val="24"/>
        </w:rPr>
        <w:t xml:space="preserve"> CBSS workers are women</w:t>
      </w:r>
      <w:r w:rsidR="0055424F" w:rsidRPr="00004415">
        <w:rPr>
          <w:sz w:val="22"/>
          <w:szCs w:val="24"/>
        </w:rPr>
        <w:t xml:space="preserve">, </w:t>
      </w:r>
      <w:r w:rsidRPr="00004415">
        <w:rPr>
          <w:sz w:val="22"/>
          <w:szCs w:val="24"/>
        </w:rPr>
        <w:t>yet their needs and contributions are often overlooked.</w:t>
      </w:r>
    </w:p>
    <w:p w14:paraId="612A7521" w14:textId="77777777" w:rsidR="002049F3" w:rsidRPr="00004415" w:rsidRDefault="00B8239E" w:rsidP="00094D81">
      <w:pPr>
        <w:rPr>
          <w:sz w:val="22"/>
          <w:szCs w:val="24"/>
        </w:rPr>
      </w:pPr>
      <w:r w:rsidRPr="00004415">
        <w:rPr>
          <w:sz w:val="22"/>
          <w:szCs w:val="24"/>
        </w:rPr>
        <w:t>• Social determinants (like income and security) drive 80% of health outcomes.</w:t>
      </w:r>
    </w:p>
    <w:p w14:paraId="34DC6FF8" w14:textId="77777777" w:rsidR="002049F3" w:rsidRPr="00004415" w:rsidRDefault="00B8239E" w:rsidP="00CF09F1">
      <w:pPr>
        <w:pStyle w:val="Heading1"/>
      </w:pPr>
      <w:r w:rsidRPr="00004415">
        <w:t>Our Goal</w:t>
      </w:r>
    </w:p>
    <w:p w14:paraId="07C0560A" w14:textId="748E17AD" w:rsidR="002049F3" w:rsidRPr="00004415" w:rsidRDefault="00B8239E" w:rsidP="00094D81">
      <w:pPr>
        <w:rPr>
          <w:sz w:val="22"/>
          <w:szCs w:val="24"/>
        </w:rPr>
      </w:pPr>
      <w:r w:rsidRPr="00004415">
        <w:rPr>
          <w:sz w:val="22"/>
          <w:szCs w:val="24"/>
        </w:rPr>
        <w:t xml:space="preserve">• To strengthen the economic prosperity and security of older women by working with CBSS </w:t>
      </w:r>
      <w:proofErr w:type="spellStart"/>
      <w:r w:rsidRPr="00004415">
        <w:rPr>
          <w:sz w:val="22"/>
          <w:szCs w:val="24"/>
        </w:rPr>
        <w:t>organi</w:t>
      </w:r>
      <w:r w:rsidR="00A7729C" w:rsidRPr="00004415">
        <w:rPr>
          <w:sz w:val="22"/>
          <w:szCs w:val="24"/>
        </w:rPr>
        <w:t>s</w:t>
      </w:r>
      <w:r w:rsidRPr="00004415">
        <w:rPr>
          <w:sz w:val="22"/>
          <w:szCs w:val="24"/>
        </w:rPr>
        <w:t>ations</w:t>
      </w:r>
      <w:proofErr w:type="spellEnd"/>
      <w:r w:rsidRPr="00004415">
        <w:rPr>
          <w:sz w:val="22"/>
          <w:szCs w:val="24"/>
        </w:rPr>
        <w:t>, researchers, policymakers, and communities.</w:t>
      </w:r>
    </w:p>
    <w:p w14:paraId="78B1620B" w14:textId="77777777" w:rsidR="002049F3" w:rsidRPr="00004415" w:rsidRDefault="00B8239E" w:rsidP="00CF09F1">
      <w:pPr>
        <w:pStyle w:val="Heading1"/>
      </w:pPr>
      <w:r w:rsidRPr="00004415">
        <w:t>How We’ll Do It</w:t>
      </w:r>
    </w:p>
    <w:p w14:paraId="480B4AD7" w14:textId="12EB31FF" w:rsidR="002049F3" w:rsidRPr="00004415" w:rsidRDefault="00B8239E" w:rsidP="00094D81">
      <w:pPr>
        <w:rPr>
          <w:sz w:val="22"/>
          <w:szCs w:val="24"/>
        </w:rPr>
      </w:pPr>
      <w:r w:rsidRPr="00004415">
        <w:rPr>
          <w:sz w:val="22"/>
          <w:szCs w:val="24"/>
        </w:rPr>
        <w:t xml:space="preserve">• </w:t>
      </w:r>
      <w:r w:rsidRPr="00CF09F1">
        <w:rPr>
          <w:b/>
          <w:bCs/>
          <w:sz w:val="22"/>
          <w:szCs w:val="24"/>
        </w:rPr>
        <w:t>Phase I – Listening &amp; Learning:</w:t>
      </w:r>
      <w:r w:rsidRPr="00004415">
        <w:rPr>
          <w:sz w:val="22"/>
          <w:szCs w:val="24"/>
        </w:rPr>
        <w:t xml:space="preserve"> Consultations, focus groups, and surveys with older women (including </w:t>
      </w:r>
      <w:proofErr w:type="spellStart"/>
      <w:r w:rsidRPr="00004415">
        <w:rPr>
          <w:sz w:val="22"/>
          <w:szCs w:val="24"/>
        </w:rPr>
        <w:t>raciali</w:t>
      </w:r>
      <w:r w:rsidR="0055424F" w:rsidRPr="00004415">
        <w:rPr>
          <w:sz w:val="22"/>
          <w:szCs w:val="24"/>
        </w:rPr>
        <w:t>s</w:t>
      </w:r>
      <w:r w:rsidRPr="00004415">
        <w:rPr>
          <w:sz w:val="22"/>
          <w:szCs w:val="24"/>
        </w:rPr>
        <w:t>ed</w:t>
      </w:r>
      <w:proofErr w:type="spellEnd"/>
      <w:r w:rsidRPr="00004415">
        <w:rPr>
          <w:sz w:val="22"/>
          <w:szCs w:val="24"/>
        </w:rPr>
        <w:t xml:space="preserve"> women) and CBSS staff/volunteers to identify barriers and lived experiences.</w:t>
      </w:r>
    </w:p>
    <w:p w14:paraId="7442E3E8" w14:textId="77777777" w:rsidR="002049F3" w:rsidRPr="00004415" w:rsidRDefault="00B8239E" w:rsidP="00094D81">
      <w:pPr>
        <w:rPr>
          <w:sz w:val="22"/>
          <w:szCs w:val="24"/>
        </w:rPr>
      </w:pPr>
      <w:r w:rsidRPr="00CF09F1">
        <w:rPr>
          <w:b/>
          <w:bCs/>
          <w:sz w:val="22"/>
          <w:szCs w:val="24"/>
        </w:rPr>
        <w:t>• Phase II – Taking Action:</w:t>
      </w:r>
      <w:r w:rsidRPr="00004415">
        <w:rPr>
          <w:sz w:val="22"/>
          <w:szCs w:val="24"/>
        </w:rPr>
        <w:t xml:space="preserve"> Develop a multi-year CBSS sector strategy, policy recommendations, and host roundtables with policymakers to drive systemic change.</w:t>
      </w:r>
    </w:p>
    <w:p w14:paraId="452E3843" w14:textId="77777777" w:rsidR="002049F3" w:rsidRDefault="00B8239E" w:rsidP="00094D81">
      <w:pPr>
        <w:rPr>
          <w:sz w:val="22"/>
          <w:szCs w:val="24"/>
        </w:rPr>
      </w:pPr>
      <w:r w:rsidRPr="00CF09F1">
        <w:rPr>
          <w:b/>
          <w:bCs/>
          <w:sz w:val="22"/>
          <w:szCs w:val="24"/>
        </w:rPr>
        <w:t>• Phase III – Scaling &amp; Sharing:</w:t>
      </w:r>
      <w:r w:rsidRPr="00004415">
        <w:rPr>
          <w:sz w:val="22"/>
          <w:szCs w:val="24"/>
        </w:rPr>
        <w:t xml:space="preserve"> Nationwide, multilingual consultations and knowledge exchange to spread best practices and strengthen CBSS across Canada.</w:t>
      </w:r>
    </w:p>
    <w:p w14:paraId="6989ACD2" w14:textId="77777777" w:rsidR="0058064C" w:rsidRDefault="0058064C" w:rsidP="00094D81">
      <w:pPr>
        <w:rPr>
          <w:sz w:val="22"/>
          <w:szCs w:val="24"/>
        </w:rPr>
      </w:pPr>
    </w:p>
    <w:p w14:paraId="67AD08A5" w14:textId="77777777" w:rsidR="0058064C" w:rsidRDefault="0058064C" w:rsidP="00094D81">
      <w:pPr>
        <w:rPr>
          <w:sz w:val="22"/>
          <w:szCs w:val="24"/>
        </w:rPr>
      </w:pPr>
    </w:p>
    <w:p w14:paraId="2AFBC718" w14:textId="77777777" w:rsidR="0058064C" w:rsidRPr="00004415" w:rsidRDefault="0058064C" w:rsidP="00094D81">
      <w:pPr>
        <w:rPr>
          <w:sz w:val="22"/>
          <w:szCs w:val="24"/>
        </w:rPr>
      </w:pPr>
    </w:p>
    <w:p w14:paraId="19313B48" w14:textId="77777777" w:rsidR="002049F3" w:rsidRPr="00004415" w:rsidRDefault="00B8239E" w:rsidP="00CF09F1">
      <w:pPr>
        <w:pStyle w:val="Heading1"/>
      </w:pPr>
      <w:r w:rsidRPr="00004415">
        <w:lastRenderedPageBreak/>
        <w:t>Equity Lens</w:t>
      </w:r>
    </w:p>
    <w:p w14:paraId="677A693D" w14:textId="59021B9C" w:rsidR="00CF09F1" w:rsidRDefault="00B8239E" w:rsidP="00094D81">
      <w:pPr>
        <w:rPr>
          <w:sz w:val="22"/>
          <w:szCs w:val="24"/>
        </w:rPr>
      </w:pPr>
      <w:r w:rsidRPr="00004415">
        <w:rPr>
          <w:sz w:val="22"/>
          <w:szCs w:val="24"/>
        </w:rPr>
        <w:t xml:space="preserve">• We will prioritize engagement with </w:t>
      </w:r>
      <w:r w:rsidR="00684177">
        <w:rPr>
          <w:sz w:val="22"/>
          <w:szCs w:val="24"/>
        </w:rPr>
        <w:t>older adult women 55+ who are from racialized or minority backgrounds, newcomers, immigrants,</w:t>
      </w:r>
      <w:r w:rsidR="0055424F" w:rsidRPr="00004415">
        <w:rPr>
          <w:sz w:val="22"/>
          <w:szCs w:val="24"/>
        </w:rPr>
        <w:t xml:space="preserve"> Indigenous</w:t>
      </w:r>
      <w:r w:rsidRPr="00004415">
        <w:rPr>
          <w:sz w:val="22"/>
          <w:szCs w:val="24"/>
        </w:rPr>
        <w:t xml:space="preserve"> and </w:t>
      </w:r>
      <w:r w:rsidR="00684177">
        <w:rPr>
          <w:sz w:val="22"/>
          <w:szCs w:val="24"/>
        </w:rPr>
        <w:t>low income</w:t>
      </w:r>
      <w:r w:rsidRPr="00004415">
        <w:rPr>
          <w:sz w:val="22"/>
          <w:szCs w:val="24"/>
        </w:rPr>
        <w:t xml:space="preserve"> older women</w:t>
      </w:r>
      <w:r w:rsidR="0055424F" w:rsidRPr="00004415">
        <w:rPr>
          <w:sz w:val="22"/>
          <w:szCs w:val="24"/>
        </w:rPr>
        <w:t xml:space="preserve">, </w:t>
      </w:r>
      <w:r w:rsidRPr="00004415">
        <w:rPr>
          <w:sz w:val="22"/>
          <w:szCs w:val="24"/>
        </w:rPr>
        <w:t>both as service users and as members of the CBSS workforce.</w:t>
      </w:r>
    </w:p>
    <w:p w14:paraId="4AAC510A" w14:textId="77777777" w:rsidR="00CF09F1" w:rsidRPr="00CF09F1" w:rsidRDefault="00B8239E" w:rsidP="00094D81">
      <w:pPr>
        <w:pStyle w:val="ListParagraph"/>
        <w:numPr>
          <w:ilvl w:val="0"/>
          <w:numId w:val="12"/>
        </w:numPr>
        <w:rPr>
          <w:sz w:val="22"/>
          <w:szCs w:val="24"/>
        </w:rPr>
      </w:pPr>
      <w:r w:rsidRPr="00CF09F1">
        <w:rPr>
          <w:b/>
          <w:bCs/>
          <w:sz w:val="22"/>
          <w:szCs w:val="24"/>
        </w:rPr>
        <w:t>Meaningful Engagement</w:t>
      </w:r>
    </w:p>
    <w:p w14:paraId="02F13EEF" w14:textId="77777777" w:rsidR="00CF09F1" w:rsidRDefault="00B8239E" w:rsidP="00094D81">
      <w:pPr>
        <w:pStyle w:val="ListParagraph"/>
        <w:numPr>
          <w:ilvl w:val="1"/>
          <w:numId w:val="12"/>
        </w:numPr>
        <w:rPr>
          <w:sz w:val="22"/>
          <w:szCs w:val="24"/>
        </w:rPr>
      </w:pPr>
      <w:r w:rsidRPr="00CF09F1">
        <w:rPr>
          <w:sz w:val="22"/>
          <w:szCs w:val="24"/>
        </w:rPr>
        <w:t>Older women will be involved at every stage: design, governance, and implementation.</w:t>
      </w:r>
    </w:p>
    <w:p w14:paraId="1DF2D9D4" w14:textId="7C0807F9" w:rsidR="002049F3" w:rsidRPr="00CF09F1" w:rsidRDefault="00B8239E" w:rsidP="00094D81">
      <w:pPr>
        <w:pStyle w:val="ListParagraph"/>
        <w:numPr>
          <w:ilvl w:val="1"/>
          <w:numId w:val="12"/>
        </w:numPr>
        <w:rPr>
          <w:sz w:val="22"/>
          <w:szCs w:val="24"/>
        </w:rPr>
      </w:pPr>
      <w:r w:rsidRPr="00CF09F1">
        <w:rPr>
          <w:sz w:val="22"/>
          <w:szCs w:val="24"/>
        </w:rPr>
        <w:t>Consultations will ensure accessibility and representation from all provinces/territories.</w:t>
      </w:r>
    </w:p>
    <w:p w14:paraId="089B50B8" w14:textId="2DCD83D1" w:rsidR="002049F3" w:rsidRPr="00004415" w:rsidRDefault="00B8239E" w:rsidP="00CF09F1">
      <w:pPr>
        <w:pStyle w:val="Heading1"/>
      </w:pPr>
      <w:r w:rsidRPr="00004415">
        <w:t xml:space="preserve">What This Means for CBSS </w:t>
      </w:r>
      <w:proofErr w:type="spellStart"/>
      <w:r w:rsidRPr="00004415">
        <w:t>Organi</w:t>
      </w:r>
      <w:r w:rsidR="00A7729C" w:rsidRPr="00004415">
        <w:t>s</w:t>
      </w:r>
      <w:r w:rsidRPr="00004415">
        <w:t>ations</w:t>
      </w:r>
      <w:proofErr w:type="spellEnd"/>
    </w:p>
    <w:p w14:paraId="497446E2" w14:textId="77777777" w:rsidR="002049F3" w:rsidRPr="00004415" w:rsidRDefault="00B8239E" w:rsidP="00094D81">
      <w:pPr>
        <w:rPr>
          <w:sz w:val="22"/>
          <w:szCs w:val="24"/>
        </w:rPr>
      </w:pPr>
      <w:r w:rsidRPr="000251B8">
        <w:rPr>
          <w:b/>
          <w:bCs/>
          <w:sz w:val="22"/>
          <w:szCs w:val="24"/>
        </w:rPr>
        <w:t>• Share local perspectives:</w:t>
      </w:r>
      <w:r w:rsidRPr="00004415">
        <w:rPr>
          <w:sz w:val="22"/>
          <w:szCs w:val="24"/>
        </w:rPr>
        <w:t xml:space="preserve"> Participate in consultations and focus groups.</w:t>
      </w:r>
    </w:p>
    <w:p w14:paraId="0CD0341B" w14:textId="77777777" w:rsidR="002049F3" w:rsidRPr="00004415" w:rsidRDefault="00B8239E" w:rsidP="00094D81">
      <w:pPr>
        <w:rPr>
          <w:sz w:val="22"/>
          <w:szCs w:val="24"/>
        </w:rPr>
      </w:pPr>
      <w:r w:rsidRPr="000251B8">
        <w:rPr>
          <w:b/>
          <w:bCs/>
          <w:sz w:val="22"/>
          <w:szCs w:val="24"/>
        </w:rPr>
        <w:t>• Strengthen your voice:</w:t>
      </w:r>
      <w:r w:rsidRPr="00004415">
        <w:rPr>
          <w:sz w:val="22"/>
          <w:szCs w:val="24"/>
        </w:rPr>
        <w:t xml:space="preserve"> Contribute to policy and sector-wide strategies.</w:t>
      </w:r>
    </w:p>
    <w:p w14:paraId="2A6BA7C8" w14:textId="77777777" w:rsidR="002049F3" w:rsidRPr="00004415" w:rsidRDefault="00B8239E" w:rsidP="00094D81">
      <w:pPr>
        <w:rPr>
          <w:sz w:val="22"/>
          <w:szCs w:val="24"/>
        </w:rPr>
      </w:pPr>
      <w:r w:rsidRPr="000251B8">
        <w:rPr>
          <w:b/>
          <w:bCs/>
          <w:sz w:val="22"/>
          <w:szCs w:val="24"/>
        </w:rPr>
        <w:t>• Shape solutions:</w:t>
      </w:r>
      <w:r w:rsidRPr="00004415">
        <w:rPr>
          <w:sz w:val="22"/>
          <w:szCs w:val="24"/>
        </w:rPr>
        <w:t xml:space="preserve"> Ensure older women in your community are heard.</w:t>
      </w:r>
    </w:p>
    <w:p w14:paraId="7F10716E" w14:textId="77777777" w:rsidR="002049F3" w:rsidRPr="00004415" w:rsidRDefault="00B8239E" w:rsidP="00094D81">
      <w:pPr>
        <w:rPr>
          <w:sz w:val="22"/>
          <w:szCs w:val="24"/>
        </w:rPr>
      </w:pPr>
      <w:r w:rsidRPr="000251B8">
        <w:rPr>
          <w:b/>
          <w:bCs/>
          <w:sz w:val="22"/>
          <w:szCs w:val="24"/>
        </w:rPr>
        <w:t>• Benefit from resources:</w:t>
      </w:r>
      <w:r w:rsidRPr="00004415">
        <w:rPr>
          <w:sz w:val="22"/>
          <w:szCs w:val="24"/>
        </w:rPr>
        <w:t xml:space="preserve"> Gain tools, knowledge, and connections to support your programs and staff.</w:t>
      </w:r>
    </w:p>
    <w:p w14:paraId="34DC77A2" w14:textId="77777777" w:rsidR="002049F3" w:rsidRPr="00004415" w:rsidRDefault="00B8239E" w:rsidP="00CF09F1">
      <w:pPr>
        <w:pStyle w:val="Heading1"/>
      </w:pPr>
      <w:r w:rsidRPr="00004415">
        <w:t>Expected Impact</w:t>
      </w:r>
    </w:p>
    <w:p w14:paraId="08E64045" w14:textId="59B4235D" w:rsidR="002049F3" w:rsidRPr="000251B8" w:rsidRDefault="00B8239E" w:rsidP="000251B8">
      <w:pPr>
        <w:pStyle w:val="ListParagraph"/>
        <w:numPr>
          <w:ilvl w:val="0"/>
          <w:numId w:val="12"/>
        </w:numPr>
        <w:rPr>
          <w:sz w:val="22"/>
          <w:szCs w:val="24"/>
        </w:rPr>
      </w:pPr>
      <w:r w:rsidRPr="000251B8">
        <w:rPr>
          <w:sz w:val="22"/>
          <w:szCs w:val="24"/>
        </w:rPr>
        <w:t>Stronger CBSS networks nationwide</w:t>
      </w:r>
      <w:r w:rsidR="000251B8">
        <w:rPr>
          <w:sz w:val="22"/>
          <w:szCs w:val="24"/>
        </w:rPr>
        <w:t>.</w:t>
      </w:r>
    </w:p>
    <w:p w14:paraId="043C564F" w14:textId="6EBD8C3C" w:rsidR="002049F3" w:rsidRPr="000251B8" w:rsidRDefault="00B8239E" w:rsidP="000251B8">
      <w:pPr>
        <w:pStyle w:val="ListParagraph"/>
        <w:numPr>
          <w:ilvl w:val="0"/>
          <w:numId w:val="12"/>
        </w:numPr>
        <w:rPr>
          <w:sz w:val="22"/>
          <w:szCs w:val="24"/>
        </w:rPr>
      </w:pPr>
      <w:r w:rsidRPr="000251B8">
        <w:rPr>
          <w:sz w:val="22"/>
          <w:szCs w:val="24"/>
        </w:rPr>
        <w:t>Better resources and access for older women</w:t>
      </w:r>
      <w:r w:rsidR="000251B8">
        <w:rPr>
          <w:sz w:val="22"/>
          <w:szCs w:val="24"/>
        </w:rPr>
        <w:t>.</w:t>
      </w:r>
    </w:p>
    <w:p w14:paraId="19C7D3DE" w14:textId="78B9D7C0" w:rsidR="002049F3" w:rsidRPr="000251B8" w:rsidRDefault="00B8239E" w:rsidP="000251B8">
      <w:pPr>
        <w:pStyle w:val="ListParagraph"/>
        <w:numPr>
          <w:ilvl w:val="0"/>
          <w:numId w:val="12"/>
        </w:numPr>
        <w:rPr>
          <w:sz w:val="22"/>
          <w:szCs w:val="24"/>
        </w:rPr>
      </w:pPr>
      <w:r w:rsidRPr="000251B8">
        <w:rPr>
          <w:sz w:val="22"/>
          <w:szCs w:val="24"/>
        </w:rPr>
        <w:t>Sustainable, evidence-based policies</w:t>
      </w:r>
      <w:r w:rsidR="000251B8">
        <w:rPr>
          <w:sz w:val="22"/>
          <w:szCs w:val="24"/>
        </w:rPr>
        <w:t>.</w:t>
      </w:r>
    </w:p>
    <w:p w14:paraId="2217A3D9" w14:textId="0C96C7A1" w:rsidR="002049F3" w:rsidRPr="000251B8" w:rsidRDefault="00B8239E" w:rsidP="000251B8">
      <w:pPr>
        <w:pStyle w:val="ListParagraph"/>
        <w:numPr>
          <w:ilvl w:val="0"/>
          <w:numId w:val="12"/>
        </w:numPr>
        <w:rPr>
          <w:sz w:val="22"/>
          <w:szCs w:val="24"/>
        </w:rPr>
      </w:pPr>
      <w:r w:rsidRPr="000251B8">
        <w:rPr>
          <w:sz w:val="22"/>
          <w:szCs w:val="24"/>
        </w:rPr>
        <w:t>Greater gender equity in aging</w:t>
      </w:r>
      <w:r w:rsidR="000251B8">
        <w:rPr>
          <w:sz w:val="22"/>
          <w:szCs w:val="24"/>
        </w:rPr>
        <w:t>.</w:t>
      </w:r>
    </w:p>
    <w:p w14:paraId="7FF57825" w14:textId="77777777" w:rsidR="002049F3" w:rsidRPr="00004415" w:rsidRDefault="00B8239E" w:rsidP="00CF09F1">
      <w:pPr>
        <w:pStyle w:val="Heading1"/>
      </w:pPr>
      <w:r w:rsidRPr="00004415">
        <w:t>Key Partners</w:t>
      </w:r>
    </w:p>
    <w:p w14:paraId="1319CEC7" w14:textId="5097D657" w:rsidR="000251B8" w:rsidRPr="000251B8" w:rsidRDefault="00B8239E" w:rsidP="000251B8">
      <w:pPr>
        <w:rPr>
          <w:sz w:val="22"/>
          <w:szCs w:val="24"/>
        </w:rPr>
      </w:pPr>
      <w:r w:rsidRPr="00004415">
        <w:rPr>
          <w:sz w:val="22"/>
          <w:szCs w:val="24"/>
        </w:rPr>
        <w:t xml:space="preserve">• CBSS </w:t>
      </w:r>
      <w:proofErr w:type="spellStart"/>
      <w:r w:rsidR="00A7729C" w:rsidRPr="00004415">
        <w:rPr>
          <w:sz w:val="22"/>
          <w:szCs w:val="24"/>
        </w:rPr>
        <w:t>Organisation</w:t>
      </w:r>
      <w:r w:rsidRPr="00004415">
        <w:rPr>
          <w:sz w:val="22"/>
          <w:szCs w:val="24"/>
        </w:rPr>
        <w:t>s</w:t>
      </w:r>
      <w:proofErr w:type="spellEnd"/>
      <w:r w:rsidRPr="00004415">
        <w:rPr>
          <w:sz w:val="22"/>
          <w:szCs w:val="24"/>
        </w:rPr>
        <w:t xml:space="preserve"> – Amplify voices of older women in </w:t>
      </w:r>
      <w:r w:rsidR="000251B8">
        <w:rPr>
          <w:sz w:val="22"/>
          <w:szCs w:val="24"/>
        </w:rPr>
        <w:t>the</w:t>
      </w:r>
      <w:r w:rsidRPr="00004415">
        <w:rPr>
          <w:sz w:val="22"/>
          <w:szCs w:val="24"/>
        </w:rPr>
        <w:t xml:space="preserve"> community.</w:t>
      </w:r>
    </w:p>
    <w:p w14:paraId="6C1C13FF" w14:textId="77777777" w:rsidR="002049F3" w:rsidRPr="00004415" w:rsidRDefault="00B8239E" w:rsidP="00094D81">
      <w:pPr>
        <w:rPr>
          <w:sz w:val="22"/>
          <w:szCs w:val="24"/>
        </w:rPr>
      </w:pPr>
      <w:r w:rsidRPr="00004415">
        <w:rPr>
          <w:sz w:val="22"/>
          <w:szCs w:val="24"/>
        </w:rPr>
        <w:t>• National Institute on Ageing (NIA) – Research and roundtables.</w:t>
      </w:r>
    </w:p>
    <w:p w14:paraId="0C381813" w14:textId="77777777" w:rsidR="002049F3" w:rsidRPr="00004415" w:rsidRDefault="00B8239E" w:rsidP="00094D81">
      <w:pPr>
        <w:rPr>
          <w:sz w:val="22"/>
          <w:szCs w:val="24"/>
        </w:rPr>
      </w:pPr>
      <w:r w:rsidRPr="00004415">
        <w:rPr>
          <w:sz w:val="22"/>
          <w:szCs w:val="24"/>
        </w:rPr>
        <w:t>• Academic Leaders (Toronto Metropolitan University, University of Toronto – led by Dr. Samir Sinha).</w:t>
      </w:r>
    </w:p>
    <w:p w14:paraId="5F003CE2" w14:textId="77777777" w:rsidR="002049F3" w:rsidRPr="00004415" w:rsidRDefault="00B8239E" w:rsidP="00094D81">
      <w:pPr>
        <w:rPr>
          <w:sz w:val="22"/>
          <w:szCs w:val="24"/>
        </w:rPr>
      </w:pPr>
      <w:r w:rsidRPr="00004415">
        <w:rPr>
          <w:sz w:val="22"/>
          <w:szCs w:val="24"/>
        </w:rPr>
        <w:t>• Sector Experts – Health, housing, finance, social services.</w:t>
      </w:r>
    </w:p>
    <w:p w14:paraId="272C9BD8" w14:textId="77777777" w:rsidR="002049F3" w:rsidRDefault="00B8239E" w:rsidP="00094D81">
      <w:pPr>
        <w:rPr>
          <w:sz w:val="22"/>
          <w:szCs w:val="24"/>
        </w:rPr>
      </w:pPr>
      <w:r w:rsidRPr="00004415">
        <w:rPr>
          <w:sz w:val="22"/>
          <w:szCs w:val="24"/>
        </w:rPr>
        <w:t>• Provincial/Territorial Governments – Consultations on regional priorities.</w:t>
      </w:r>
    </w:p>
    <w:p w14:paraId="3874D59C" w14:textId="77777777" w:rsidR="003829F1" w:rsidRDefault="003829F1" w:rsidP="003829F1">
      <w:pPr>
        <w:rPr>
          <w:rFonts w:ascii="Verdana" w:hAnsi="Verdana"/>
          <w:noProof/>
          <w:szCs w:val="20"/>
        </w:rPr>
      </w:pPr>
    </w:p>
    <w:p w14:paraId="54EAE467" w14:textId="4BE26E35" w:rsidR="003829F1" w:rsidRDefault="003829F1" w:rsidP="003829F1">
      <w:pPr>
        <w:rPr>
          <w:rFonts w:ascii="Verdana" w:hAnsi="Verdana"/>
          <w:noProof/>
          <w:szCs w:val="20"/>
        </w:rPr>
      </w:pPr>
      <w:r w:rsidRPr="002142B1">
        <w:rPr>
          <w:rFonts w:ascii="Verdana" w:hAnsi="Verdana"/>
          <w:noProof/>
          <w:color w:val="FF0000"/>
          <w:szCs w:val="20"/>
        </w:rPr>
        <mc:AlternateContent>
          <mc:Choice Requires="wps">
            <w:drawing>
              <wp:anchor distT="0" distB="0" distL="114300" distR="114300" simplePos="0" relativeHeight="251663360" behindDoc="0" locked="0" layoutInCell="1" allowOverlap="1" wp14:anchorId="1784C264" wp14:editId="5B222E00">
                <wp:simplePos x="0" y="0"/>
                <wp:positionH relativeFrom="column">
                  <wp:posOffset>-76200</wp:posOffset>
                </wp:positionH>
                <wp:positionV relativeFrom="paragraph">
                  <wp:posOffset>67310</wp:posOffset>
                </wp:positionV>
                <wp:extent cx="6898640" cy="9525"/>
                <wp:effectExtent l="0" t="0" r="35560" b="28575"/>
                <wp:wrapNone/>
                <wp:docPr id="1152542278" name="Straight Connector 2"/>
                <wp:cNvGraphicFramePr/>
                <a:graphic xmlns:a="http://schemas.openxmlformats.org/drawingml/2006/main">
                  <a:graphicData uri="http://schemas.microsoft.com/office/word/2010/wordprocessingShape">
                    <wps:wsp>
                      <wps:cNvCnPr/>
                      <wps:spPr>
                        <a:xfrm flipV="1">
                          <a:off x="0" y="0"/>
                          <a:ext cx="6898640" cy="9525"/>
                        </a:xfrm>
                        <a:prstGeom prst="straightConnector1">
                          <a:avLst/>
                        </a:prstGeom>
                        <a:ln>
                          <a:solidFill>
                            <a:schemeClr val="accent2"/>
                          </a:solidFill>
                        </a:ln>
                      </wps:spPr>
                      <wps:style>
                        <a:lnRef idx="1">
                          <a:schemeClr val="accent1"/>
                        </a:lnRef>
                        <a:fillRef idx="0">
                          <a:schemeClr val="accent1"/>
                        </a:fillRef>
                        <a:effectRef idx="0">
                          <a:scrgbClr r="0" g="0" b="0"/>
                        </a:effectRef>
                        <a:fontRef idx="minor">
                          <a:schemeClr val="tx1"/>
                        </a:fontRef>
                      </wps:style>
                      <wps:bodyPr/>
                    </wps:wsp>
                  </a:graphicData>
                </a:graphic>
              </wp:anchor>
            </w:drawing>
          </mc:Choice>
          <mc:Fallback>
            <w:pict>
              <v:shapetype w14:anchorId="603470F7" id="_x0000_t32" coordsize="21600,21600" o:spt="32" o:oned="t" path="m,l21600,21600e" filled="f">
                <v:path arrowok="t" fillok="f" o:connecttype="none"/>
                <o:lock v:ext="edit" shapetype="t"/>
              </v:shapetype>
              <v:shape id="Straight Connector 2" o:spid="_x0000_s1026" type="#_x0000_t32" style="position:absolute;margin-left:-6pt;margin-top:5.3pt;width:543.2pt;height:.7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" strokecolor="#c0504d [3205]"/>
            </w:pict>
          </mc:Fallback>
        </mc:AlternateContent>
      </w:r>
    </w:p>
    <w:p w14:paraId="52492ABE" w14:textId="77777777" w:rsidR="003829F1" w:rsidRPr="000F2C68" w:rsidRDefault="003829F1" w:rsidP="003829F1">
      <w:pPr>
        <w:rPr>
          <w:rFonts w:ascii="Verdana" w:hAnsi="Verdana"/>
          <w:noProof/>
          <w:sz w:val="16"/>
          <w:szCs w:val="16"/>
          <w:lang w:val="en-CA"/>
        </w:rPr>
      </w:pPr>
      <w:r w:rsidRPr="06234680">
        <w:rPr>
          <w:rFonts w:ascii="Verdana" w:hAnsi="Verdana"/>
          <w:noProof/>
          <w:sz w:val="16"/>
          <w:szCs w:val="16"/>
          <w:lang w:val="en-CA"/>
        </w:rPr>
        <w:t>HelpAge Canada is a registered charity with a Canadian focus and global reach, exclusively dedicated to advancing the rights,     well-being, and dignity of older people. Since 1975, we’ve partnered with and invested in local communities to improve lives in Canada and beyond. We are working to build a coordinated Pan-Canadian community-based seniors’ services (CBSS) sector,   sharing knowledge, setting priorities, and shaping an inclusive vision for the future of ageing. Priority programming, such as Age Better Grants, fund local initiatives by community, for community, to reduce isolation and improve quality of life for older people.</w:t>
      </w:r>
    </w:p>
    <w:p w14:paraId="1396B404" w14:textId="1811B791" w:rsidR="003829F1" w:rsidRPr="00293878" w:rsidRDefault="003829F1" w:rsidP="003829F1">
      <w:pPr>
        <w:rPr>
          <w:rFonts w:ascii="Verdana" w:hAnsi="Verdana"/>
          <w:noProof/>
          <w:szCs w:val="20"/>
        </w:rPr>
      </w:pPr>
      <w:r w:rsidRPr="06234680">
        <w:rPr>
          <w:rFonts w:ascii="Verdana" w:hAnsi="Verdana"/>
          <w:noProof/>
          <w:sz w:val="16"/>
          <w:szCs w:val="16"/>
          <w:lang w:val="en-CA"/>
        </w:rPr>
        <w:t xml:space="preserve">Visit </w:t>
      </w:r>
      <w:hyperlink r:id="rId10">
        <w:r w:rsidRPr="06234680">
          <w:rPr>
            <w:rStyle w:val="Hyperlink"/>
            <w:rFonts w:ascii="Verdana" w:hAnsi="Verdana"/>
            <w:noProof/>
            <w:sz w:val="16"/>
            <w:szCs w:val="16"/>
            <w:lang w:val="en-CA"/>
          </w:rPr>
          <w:t>helpagecanada.ca</w:t>
        </w:r>
      </w:hyperlink>
      <w:r w:rsidRPr="06234680">
        <w:rPr>
          <w:rFonts w:ascii="Verdana" w:hAnsi="Verdana"/>
          <w:noProof/>
          <w:sz w:val="16"/>
          <w:szCs w:val="16"/>
          <w:lang w:val="en-CA"/>
        </w:rPr>
        <w:t xml:space="preserve">. Follow us on </w:t>
      </w:r>
      <w:hyperlink r:id="rId11">
        <w:r w:rsidRPr="06234680">
          <w:rPr>
            <w:rStyle w:val="Hyperlink"/>
            <w:rFonts w:ascii="Verdana" w:hAnsi="Verdana"/>
            <w:noProof/>
            <w:sz w:val="16"/>
            <w:szCs w:val="16"/>
            <w:lang w:val="en-CA"/>
          </w:rPr>
          <w:t>LinkedIn,</w:t>
        </w:r>
      </w:hyperlink>
      <w:r w:rsidRPr="06234680">
        <w:rPr>
          <w:rFonts w:ascii="Verdana" w:hAnsi="Verdana"/>
          <w:noProof/>
          <w:sz w:val="16"/>
          <w:szCs w:val="16"/>
          <w:lang w:val="en-CA"/>
        </w:rPr>
        <w:t xml:space="preserve"> </w:t>
      </w:r>
      <w:hyperlink r:id="rId12">
        <w:r w:rsidRPr="06234680">
          <w:rPr>
            <w:rStyle w:val="Hyperlink"/>
            <w:rFonts w:ascii="Verdana" w:hAnsi="Verdana"/>
            <w:noProof/>
            <w:sz w:val="16"/>
            <w:szCs w:val="16"/>
            <w:lang w:val="en-CA"/>
          </w:rPr>
          <w:t>Instagram</w:t>
        </w:r>
      </w:hyperlink>
      <w:r w:rsidRPr="06234680">
        <w:rPr>
          <w:rFonts w:ascii="Verdana" w:hAnsi="Verdana"/>
          <w:noProof/>
          <w:sz w:val="16"/>
          <w:szCs w:val="16"/>
          <w:lang w:val="en-CA"/>
        </w:rPr>
        <w:t xml:space="preserve">, </w:t>
      </w:r>
      <w:hyperlink r:id="rId13">
        <w:r w:rsidRPr="06234680">
          <w:rPr>
            <w:rStyle w:val="Hyperlink"/>
            <w:rFonts w:ascii="Verdana" w:hAnsi="Verdana"/>
            <w:noProof/>
            <w:sz w:val="16"/>
            <w:szCs w:val="16"/>
            <w:lang w:val="en-CA"/>
          </w:rPr>
          <w:t>X (formerly Twitter)</w:t>
        </w:r>
      </w:hyperlink>
      <w:r w:rsidRPr="06234680">
        <w:rPr>
          <w:rFonts w:ascii="Verdana" w:hAnsi="Verdana"/>
          <w:noProof/>
          <w:sz w:val="16"/>
          <w:szCs w:val="16"/>
          <w:lang w:val="en-CA"/>
        </w:rPr>
        <w:t xml:space="preserve">, and </w:t>
      </w:r>
      <w:hyperlink r:id="rId14">
        <w:r w:rsidRPr="06234680">
          <w:rPr>
            <w:rStyle w:val="Hyperlink"/>
            <w:rFonts w:ascii="Verdana" w:hAnsi="Verdana"/>
            <w:noProof/>
            <w:sz w:val="16"/>
            <w:szCs w:val="16"/>
            <w:lang w:val="en-CA"/>
          </w:rPr>
          <w:t>Facebook</w:t>
        </w:r>
      </w:hyperlink>
      <w:r w:rsidRPr="06234680">
        <w:rPr>
          <w:rFonts w:ascii="Verdana" w:hAnsi="Verdana"/>
          <w:noProof/>
          <w:sz w:val="16"/>
          <w:szCs w:val="16"/>
          <w:lang w:val="en-CA"/>
        </w:rPr>
        <w:t>.</w:t>
      </w:r>
    </w:p>
    <w:p w14:paraId="230C6DF1" w14:textId="77777777" w:rsidR="00004415" w:rsidRPr="00004415" w:rsidRDefault="00004415" w:rsidP="00094D81">
      <w:pPr>
        <w:jc w:val="center"/>
        <w:rPr>
          <w:rStyle w:val="Strong"/>
          <w:sz w:val="22"/>
          <w:szCs w:val="24"/>
        </w:rPr>
      </w:pPr>
    </w:p>
    <w:sectPr w:rsidR="00004415" w:rsidRPr="00004415" w:rsidSect="000251B8">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B3A74" w14:textId="77777777" w:rsidR="00A7423B" w:rsidRDefault="00A7423B" w:rsidP="003829F1">
      <w:pPr>
        <w:spacing w:after="0" w:line="240" w:lineRule="auto"/>
      </w:pPr>
      <w:r>
        <w:separator/>
      </w:r>
    </w:p>
  </w:endnote>
  <w:endnote w:type="continuationSeparator" w:id="0">
    <w:p w14:paraId="48312EC8" w14:textId="77777777" w:rsidR="00A7423B" w:rsidRDefault="00A7423B" w:rsidP="0038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DAF7E" w14:textId="12F47BE0" w:rsidR="003829F1" w:rsidRDefault="003829F1">
    <w:pPr>
      <w:pStyle w:val="Footer"/>
    </w:pPr>
    <w:r>
      <w:rPr>
        <w:rFonts w:cstheme="minorHAnsi"/>
        <w:noProof/>
        <w:color w:val="808080" w:themeColor="background1" w:themeShade="80"/>
        <w:sz w:val="16"/>
        <w:szCs w:val="16"/>
      </w:rPr>
      <mc:AlternateContent>
        <mc:Choice Requires="wps">
          <w:drawing>
            <wp:anchor distT="0" distB="0" distL="114300" distR="114300" simplePos="0" relativeHeight="251659264" behindDoc="1" locked="0" layoutInCell="1" allowOverlap="1" wp14:anchorId="392BA2F0" wp14:editId="57D3AF2E">
              <wp:simplePos x="0" y="0"/>
              <wp:positionH relativeFrom="column">
                <wp:posOffset>-419100</wp:posOffset>
              </wp:positionH>
              <wp:positionV relativeFrom="paragraph">
                <wp:posOffset>164464</wp:posOffset>
              </wp:positionV>
              <wp:extent cx="7889132" cy="445453"/>
              <wp:effectExtent l="0" t="0" r="0" b="0"/>
              <wp:wrapNone/>
              <wp:docPr id="1" name="Rectangle 1"/>
              <wp:cNvGraphicFramePr/>
              <a:graphic xmlns:a="http://schemas.openxmlformats.org/drawingml/2006/main">
                <a:graphicData uri="http://schemas.microsoft.com/office/word/2010/wordprocessingShape">
                  <wps:wsp>
                    <wps:cNvSpPr/>
                    <wps:spPr>
                      <a:xfrm>
                        <a:off x="0" y="0"/>
                        <a:ext cx="7889132" cy="445453"/>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BEEE95" w14:textId="77777777" w:rsidR="003829F1" w:rsidRPr="003829F1" w:rsidRDefault="003829F1" w:rsidP="003829F1">
                          <w:pPr>
                            <w:pStyle w:val="Footer"/>
                            <w:shd w:val="clear" w:color="auto" w:fill="D9D9D9" w:themeFill="background1" w:themeFillShade="D9"/>
                            <w:jc w:val="center"/>
                            <w:rPr>
                              <w:rStyle w:val="Hyperlink"/>
                              <w:rFonts w:cstheme="minorHAnsi"/>
                              <w:color w:val="auto"/>
                              <w:sz w:val="16"/>
                              <w:szCs w:val="16"/>
                            </w:rPr>
                          </w:pPr>
                          <w:r w:rsidRPr="003829F1">
                            <w:rPr>
                              <w:rFonts w:cstheme="minorHAnsi"/>
                              <w:sz w:val="16"/>
                              <w:szCs w:val="16"/>
                            </w:rPr>
                            <w:t xml:space="preserve">205 - 1300 Carling Avenue, Ottawa, Ontario  K1Z 7L2  |  TEL 613-232-0727  |  1-800-648-1111  |  </w:t>
                          </w:r>
                          <w:hyperlink r:id="rId1" w:history="1">
                            <w:r w:rsidRPr="003829F1">
                              <w:rPr>
                                <w:rStyle w:val="Hyperlink"/>
                                <w:rFonts w:cstheme="minorHAnsi"/>
                                <w:color w:val="auto"/>
                                <w:sz w:val="16"/>
                                <w:szCs w:val="16"/>
                              </w:rPr>
                              <w:t>helpagecanada.ca</w:t>
                            </w:r>
                          </w:hyperlink>
                        </w:p>
                        <w:p w14:paraId="45D3C11D" w14:textId="77777777" w:rsidR="003829F1" w:rsidRPr="003829F1" w:rsidRDefault="003829F1" w:rsidP="003829F1">
                          <w:pPr>
                            <w:pStyle w:val="Footer"/>
                            <w:shd w:val="clear" w:color="auto" w:fill="D9D9D9" w:themeFill="background1" w:themeFillShade="D9"/>
                            <w:jc w:val="center"/>
                            <w:rPr>
                              <w:sz w:val="16"/>
                              <w:szCs w:val="16"/>
                            </w:rPr>
                          </w:pPr>
                          <w:r w:rsidRPr="003829F1">
                            <w:rPr>
                              <w:rStyle w:val="Hyperlink"/>
                              <w:rFonts w:cstheme="minorHAnsi"/>
                              <w:color w:val="EE0000"/>
                              <w:sz w:val="16"/>
                              <w:szCs w:val="16"/>
                            </w:rPr>
                            <w:t>HelpAge Canada Charity Registration No. 118955921RR0001</w:t>
                          </w:r>
                        </w:p>
                        <w:p w14:paraId="03C9A5CE" w14:textId="77777777" w:rsidR="003829F1" w:rsidRDefault="003829F1" w:rsidP="003829F1">
                          <w:pPr>
                            <w:shd w:val="clear" w:color="auto" w:fill="D9D9D9" w:themeFill="background1" w:themeFillShade="D9"/>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2BA2F0" id="Rectangle 1" o:spid="_x0000_s1026" style="position:absolute;margin-left:-33pt;margin-top:12.95pt;width:621.2pt;height:3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" fillcolor="#eeece1 [3214]" stroked="f" strokeweight="2pt">
              <v:textbox>
                <w:txbxContent>
                  <w:p w14:paraId="66BEEE95" w14:textId="77777777" w:rsidR="003829F1" w:rsidRPr="003829F1" w:rsidRDefault="003829F1" w:rsidP="003829F1">
                    <w:pPr>
                      <w:pStyle w:val="Footer"/>
                      <w:shd w:val="clear" w:color="auto" w:fill="D9D9D9" w:themeFill="background1" w:themeFillShade="D9"/>
                      <w:jc w:val="center"/>
                      <w:rPr>
                        <w:rStyle w:val="Hyperlink"/>
                        <w:rFonts w:cstheme="minorHAnsi"/>
                        <w:color w:val="auto"/>
                        <w:sz w:val="16"/>
                        <w:szCs w:val="16"/>
                      </w:rPr>
                    </w:pPr>
                    <w:r w:rsidRPr="003829F1">
                      <w:rPr>
                        <w:rFonts w:cstheme="minorHAnsi"/>
                        <w:sz w:val="16"/>
                        <w:szCs w:val="16"/>
                      </w:rPr>
                      <w:t xml:space="preserve">205 - 1300 Carling Avenue, Ottawa, Ontario  K1Z 7L2  |  TEL 613-232-0727  |  1-800-648-1111  |  </w:t>
                    </w:r>
                    <w:hyperlink r:id="rId2" w:history="1">
                      <w:r w:rsidRPr="003829F1">
                        <w:rPr>
                          <w:rStyle w:val="Hyperlink"/>
                          <w:rFonts w:cstheme="minorHAnsi"/>
                          <w:color w:val="auto"/>
                          <w:sz w:val="16"/>
                          <w:szCs w:val="16"/>
                        </w:rPr>
                        <w:t>helpagecanada.ca</w:t>
                      </w:r>
                    </w:hyperlink>
                  </w:p>
                  <w:p w14:paraId="45D3C11D" w14:textId="77777777" w:rsidR="003829F1" w:rsidRPr="003829F1" w:rsidRDefault="003829F1" w:rsidP="003829F1">
                    <w:pPr>
                      <w:pStyle w:val="Footer"/>
                      <w:shd w:val="clear" w:color="auto" w:fill="D9D9D9" w:themeFill="background1" w:themeFillShade="D9"/>
                      <w:jc w:val="center"/>
                      <w:rPr>
                        <w:sz w:val="16"/>
                        <w:szCs w:val="16"/>
                      </w:rPr>
                    </w:pPr>
                    <w:r w:rsidRPr="003829F1">
                      <w:rPr>
                        <w:rStyle w:val="Hyperlink"/>
                        <w:rFonts w:cstheme="minorHAnsi"/>
                        <w:color w:val="EE0000"/>
                        <w:sz w:val="16"/>
                        <w:szCs w:val="16"/>
                      </w:rPr>
                      <w:t>HelpAge Canada Charity Registration No. 118955921RR0001</w:t>
                    </w:r>
                  </w:p>
                  <w:p w14:paraId="03C9A5CE" w14:textId="77777777" w:rsidR="003829F1" w:rsidRDefault="003829F1" w:rsidP="003829F1">
                    <w:pPr>
                      <w:shd w:val="clear" w:color="auto" w:fill="D9D9D9" w:themeFill="background1" w:themeFillShade="D9"/>
                      <w:jc w:val="center"/>
                    </w:pPr>
                  </w:p>
                </w:txbxContent>
              </v:textbox>
            </v:rect>
          </w:pict>
        </mc:Fallback>
      </mc:AlternateContent>
    </w:r>
  </w:p>
  <w:p w14:paraId="1336A660" w14:textId="77777777" w:rsidR="003829F1" w:rsidRDefault="00382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55213" w14:textId="77777777" w:rsidR="00A7423B" w:rsidRDefault="00A7423B" w:rsidP="003829F1">
      <w:pPr>
        <w:spacing w:after="0" w:line="240" w:lineRule="auto"/>
      </w:pPr>
      <w:r>
        <w:separator/>
      </w:r>
    </w:p>
  </w:footnote>
  <w:footnote w:type="continuationSeparator" w:id="0">
    <w:p w14:paraId="6BC6A985" w14:textId="77777777" w:rsidR="00A7423B" w:rsidRDefault="00A7423B" w:rsidP="003829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0658D0"/>
    <w:multiLevelType w:val="hybridMultilevel"/>
    <w:tmpl w:val="D92021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0EF626BB"/>
    <w:multiLevelType w:val="hybridMultilevel"/>
    <w:tmpl w:val="AEC6722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0854932"/>
    <w:multiLevelType w:val="hybridMultilevel"/>
    <w:tmpl w:val="7914965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7B356690"/>
    <w:multiLevelType w:val="hybridMultilevel"/>
    <w:tmpl w:val="D842024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942809004">
    <w:abstractNumId w:val="8"/>
  </w:num>
  <w:num w:numId="2" w16cid:durableId="1320308167">
    <w:abstractNumId w:val="6"/>
  </w:num>
  <w:num w:numId="3" w16cid:durableId="1775056498">
    <w:abstractNumId w:val="5"/>
  </w:num>
  <w:num w:numId="4" w16cid:durableId="1079257662">
    <w:abstractNumId w:val="4"/>
  </w:num>
  <w:num w:numId="5" w16cid:durableId="1674533299">
    <w:abstractNumId w:val="7"/>
  </w:num>
  <w:num w:numId="6" w16cid:durableId="847333821">
    <w:abstractNumId w:val="3"/>
  </w:num>
  <w:num w:numId="7" w16cid:durableId="1132208080">
    <w:abstractNumId w:val="2"/>
  </w:num>
  <w:num w:numId="8" w16cid:durableId="1493448026">
    <w:abstractNumId w:val="1"/>
  </w:num>
  <w:num w:numId="9" w16cid:durableId="759328581">
    <w:abstractNumId w:val="0"/>
  </w:num>
  <w:num w:numId="10" w16cid:durableId="742293235">
    <w:abstractNumId w:val="9"/>
  </w:num>
  <w:num w:numId="11" w16cid:durableId="617494818">
    <w:abstractNumId w:val="10"/>
  </w:num>
  <w:num w:numId="12" w16cid:durableId="2096434417">
    <w:abstractNumId w:val="11"/>
  </w:num>
  <w:num w:numId="13" w16cid:durableId="1405873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415"/>
    <w:rsid w:val="000251B8"/>
    <w:rsid w:val="00034616"/>
    <w:rsid w:val="0006063C"/>
    <w:rsid w:val="00094D81"/>
    <w:rsid w:val="0015074B"/>
    <w:rsid w:val="002049F3"/>
    <w:rsid w:val="0029639D"/>
    <w:rsid w:val="00326F90"/>
    <w:rsid w:val="003829F1"/>
    <w:rsid w:val="004C07CD"/>
    <w:rsid w:val="0055424F"/>
    <w:rsid w:val="0058064C"/>
    <w:rsid w:val="006727EA"/>
    <w:rsid w:val="00684177"/>
    <w:rsid w:val="007808F2"/>
    <w:rsid w:val="00A3430F"/>
    <w:rsid w:val="00A6403F"/>
    <w:rsid w:val="00A7423B"/>
    <w:rsid w:val="00A7729C"/>
    <w:rsid w:val="00AA1D8D"/>
    <w:rsid w:val="00B47730"/>
    <w:rsid w:val="00B8239E"/>
    <w:rsid w:val="00CB0664"/>
    <w:rsid w:val="00CF09F1"/>
    <w:rsid w:val="00D97D81"/>
    <w:rsid w:val="00F626CC"/>
    <w:rsid w:val="00F7242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702C0E"/>
  <w14:defaultImageDpi w14:val="300"/>
  <w15:docId w15:val="{5956D4C0-0D5C-49F8-9127-42A5C54AF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sz w:val="20"/>
    </w:rPr>
  </w:style>
  <w:style w:type="paragraph" w:styleId="Heading1">
    <w:name w:val="heading 1"/>
    <w:basedOn w:val="Normal"/>
    <w:next w:val="Normal"/>
    <w:link w:val="Heading1Char"/>
    <w:uiPriority w:val="9"/>
    <w:qFormat/>
    <w:rsid w:val="00CF09F1"/>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CF09F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rsid w:val="003829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x.com/HelpAgeCanad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helpagecanad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linkedin.com/company/helpage-canad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helpagecanada.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acebook.com/helpagecanada/"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helpagecanada.ca/" TargetMode="External"/><Relationship Id="rId1" Type="http://schemas.openxmlformats.org/officeDocument/2006/relationships/hyperlink" Target="http://www.helpagecanad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Rose Joudi</cp:lastModifiedBy>
  <cp:revision>13</cp:revision>
  <dcterms:created xsi:type="dcterms:W3CDTF">2025-11-02T21:19:00Z</dcterms:created>
  <dcterms:modified xsi:type="dcterms:W3CDTF">2025-11-24T21:32:00Z</dcterms:modified>
  <cp:category/>
</cp:coreProperties>
</file>